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6B8F7917"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w:t>
      </w:r>
      <w:r w:rsidR="002724E9">
        <w:rPr>
          <w:color w:val="808080" w:themeColor="background1" w:themeShade="80"/>
          <w:sz w:val="32"/>
          <w:szCs w:val="32"/>
          <w:lang w:val="en-US"/>
        </w:rPr>
        <w:t>C_</w:t>
      </w:r>
      <w:r w:rsidR="00DF5589">
        <w:rPr>
          <w:color w:val="808080" w:themeColor="background1" w:themeShade="80"/>
          <w:sz w:val="32"/>
          <w:szCs w:val="32"/>
          <w:lang w:val="en-US"/>
        </w:rPr>
        <w:t>E03</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14545F2B"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C874B4">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 xml:space="preserve">el Ingeniero </w:t>
      </w:r>
      <w:proofErr w:type="gramStart"/>
      <w:r>
        <w:t>Jefe</w:t>
      </w:r>
      <w:proofErr w:type="gramEnd"/>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 xml:space="preserve">Por ningún motivo se podrán desarmar los equipos sin la autorización expresa del Ingeniero </w:t>
      </w:r>
      <w:proofErr w:type="gramStart"/>
      <w:r w:rsidRPr="004C02E1">
        <w:t>Jefe</w:t>
      </w:r>
      <w:proofErr w:type="gramEnd"/>
      <w:r w:rsidRPr="004C02E1">
        <w:t>.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 xml:space="preserve">El alambrado entre elementos de un mismo equipo se deberá realizar con cables flexibles </w:t>
      </w:r>
      <w:proofErr w:type="spellStart"/>
      <w:r w:rsidRPr="00CB0313">
        <w:t>monoconductores</w:t>
      </w:r>
      <w:proofErr w:type="spellEnd"/>
      <w:r w:rsidRPr="00CB0313">
        <w:t>.</w:t>
      </w:r>
    </w:p>
    <w:p w14:paraId="7AC3F920" w14:textId="67D26206" w:rsidR="00CB0313" w:rsidRPr="00CB0313" w:rsidRDefault="00CB0313" w:rsidP="00CB0313">
      <w:r w:rsidRPr="00CB0313">
        <w:lastRenderedPageBreak/>
        <w:t xml:space="preserve">El alambrado con </w:t>
      </w:r>
      <w:proofErr w:type="spellStart"/>
      <w:r w:rsidRPr="00CB0313">
        <w:t>monoconductores</w:t>
      </w:r>
      <w:proofErr w:type="spellEnd"/>
      <w:r w:rsidRPr="00CB0313">
        <w:t xml:space="preserve">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w:t>
      </w:r>
      <w:proofErr w:type="gramStart"/>
      <w:r w:rsidRPr="00CB0313">
        <w:t>Jefe</w:t>
      </w:r>
      <w:proofErr w:type="gramEnd"/>
      <w:r w:rsidRPr="00CB0313">
        <w:t>.</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w:t>
      </w:r>
      <w:proofErr w:type="spellStart"/>
      <w:r w:rsidRPr="00CB0313">
        <w:t>portaconductores</w:t>
      </w:r>
      <w:proofErr w:type="spellEnd"/>
      <w:r w:rsidRPr="00CB0313">
        <w:t xml:space="preserve">,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 xml:space="preserve">No se deberán tender cables </w:t>
      </w:r>
      <w:proofErr w:type="spellStart"/>
      <w:r w:rsidRPr="00CB0313">
        <w:t>monoconductores</w:t>
      </w:r>
      <w:proofErr w:type="spellEnd"/>
      <w:r w:rsidRPr="00CB0313">
        <w:t xml:space="preserve"> en canaletas por el piso, bandejas metálicas descubiertas, cualquier vía donde se estén llevando cables </w:t>
      </w:r>
      <w:proofErr w:type="spellStart"/>
      <w:r w:rsidRPr="00CB0313">
        <w:t>multiconductores</w:t>
      </w:r>
      <w:proofErr w:type="spellEnd"/>
      <w:r w:rsidRPr="00CB0313">
        <w:t>, ni por ductos que estén expuestos a acumular agua o humedad.</w:t>
      </w:r>
    </w:p>
    <w:p w14:paraId="629C2B0F" w14:textId="77777777" w:rsidR="00CB0313" w:rsidRPr="00CB0313" w:rsidRDefault="00CB0313" w:rsidP="00CB0313">
      <w:r w:rsidRPr="00CB0313">
        <w:t xml:space="preserve">La extracción de la aislación de los cables </w:t>
      </w:r>
      <w:proofErr w:type="spellStart"/>
      <w:r w:rsidRPr="00CB0313">
        <w:t>monoconductores</w:t>
      </w:r>
      <w:proofErr w:type="spellEnd"/>
      <w:r w:rsidRPr="00CB0313">
        <w:t xml:space="preserve"> deberá realizarse con las herramientas adecuadas para el caso (</w:t>
      </w:r>
      <w:proofErr w:type="spellStart"/>
      <w:r w:rsidRPr="00CB0313">
        <w:t>strip</w:t>
      </w:r>
      <w:proofErr w:type="spellEnd"/>
      <w:r w:rsidRPr="00CB0313">
        <w:t>-master), de manera de garantizar que el conductor metálico no quede dañado por muescas o mordeduras.</w:t>
      </w:r>
    </w:p>
    <w:p w14:paraId="1C2CC747" w14:textId="77777777" w:rsidR="00CB0313" w:rsidRPr="00CB0313" w:rsidRDefault="00CB0313" w:rsidP="00CB0313">
      <w:r w:rsidRPr="00CB0313">
        <w:t xml:space="preserve">Los cables </w:t>
      </w:r>
      <w:proofErr w:type="spellStart"/>
      <w:r w:rsidRPr="00CB0313">
        <w:t>monoconductores</w:t>
      </w:r>
      <w:proofErr w:type="spellEnd"/>
      <w:r w:rsidRPr="00CB0313">
        <w:t xml:space="preserve"> se conectarán a los bornes de los diversos elementos, por medio de conectores de compresión.</w:t>
      </w:r>
    </w:p>
    <w:p w14:paraId="1DAC7643" w14:textId="7CE5A6B0" w:rsidR="00CB0313" w:rsidRDefault="00CB0313" w:rsidP="00CB0313">
      <w:r w:rsidRPr="00CB0313">
        <w:t xml:space="preserve">Los cables </w:t>
      </w:r>
      <w:proofErr w:type="spellStart"/>
      <w:r w:rsidRPr="00CB0313">
        <w:t>monoconductores</w:t>
      </w:r>
      <w:proofErr w:type="spellEnd"/>
      <w:r w:rsidRPr="00CB0313">
        <w:t xml:space="preserve">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 xml:space="preserve">con cables </w:t>
      </w:r>
      <w:proofErr w:type="spellStart"/>
      <w:r w:rsidRPr="00331EE3">
        <w:t>multiconductores</w:t>
      </w:r>
      <w:proofErr w:type="spellEnd"/>
      <w:r w:rsidRPr="00331EE3">
        <w:t xml:space="preserve"> se deberán considerar las mismas exigencias establecidas para los alambrados con cables </w:t>
      </w:r>
      <w:proofErr w:type="spellStart"/>
      <w:r w:rsidRPr="00331EE3">
        <w:t>mono-conductores</w:t>
      </w:r>
      <w:proofErr w:type="spellEnd"/>
      <w:r w:rsidRPr="00331EE3">
        <w:t xml:space="preserve">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 xml:space="preserve">l Ingeniero </w:t>
      </w:r>
      <w:proofErr w:type="gramStart"/>
      <w:r>
        <w:t>Jefe</w:t>
      </w:r>
      <w:proofErr w:type="gramEnd"/>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w:t>
      </w:r>
      <w:proofErr w:type="spellStart"/>
      <w:r>
        <w:t>multiconductores</w:t>
      </w:r>
      <w:proofErr w:type="spellEnd"/>
      <w:r>
        <w:t xml:space="preserve">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 xml:space="preserve">l Ingeniero </w:t>
      </w:r>
      <w:proofErr w:type="gramStart"/>
      <w:r>
        <w:t>Jefe</w:t>
      </w:r>
      <w:proofErr w:type="gramEnd"/>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 xml:space="preserve">l Ingeniero </w:t>
      </w:r>
      <w:proofErr w:type="gramStart"/>
      <w:r>
        <w:t>Jefe</w:t>
      </w:r>
      <w:proofErr w:type="gramEnd"/>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 xml:space="preserve">el Ingeniero </w:t>
      </w:r>
      <w:proofErr w:type="gramStart"/>
      <w:r>
        <w:t>Jefe</w:t>
      </w:r>
      <w:proofErr w:type="gramEnd"/>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 xml:space="preserve">Los conductores de un cable </w:t>
      </w:r>
      <w:proofErr w:type="spellStart"/>
      <w:r w:rsidRPr="00331EE3">
        <w:t>multiconductor</w:t>
      </w:r>
      <w:proofErr w:type="spellEnd"/>
      <w:r w:rsidRPr="00331EE3">
        <w:t xml:space="preserve">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 xml:space="preserve">a las instrucciones del Ingeniero </w:t>
      </w:r>
      <w:proofErr w:type="gramStart"/>
      <w:r>
        <w:t>Jefe</w:t>
      </w:r>
      <w:proofErr w:type="gramEnd"/>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 xml:space="preserve">l Ingeniero </w:t>
      </w:r>
      <w:proofErr w:type="gramStart"/>
      <w:r>
        <w:t>Jefe</w:t>
      </w:r>
      <w:proofErr w:type="gramEnd"/>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 xml:space="preserve">Posterior al decapado se deberá aterrizar la pantalla de los </w:t>
      </w:r>
      <w:proofErr w:type="spellStart"/>
      <w:r w:rsidRPr="00CB0313">
        <w:t>multiconductores</w:t>
      </w:r>
      <w:proofErr w:type="spellEnd"/>
      <w:r w:rsidRPr="00CB0313">
        <w:t xml:space="preserve">, soldando un cable verde/amarillo de 2,5mm como mínimo sobre la pantalla de cobre del cable de control, esta soldadura deberá quedar sellada con termo-contraíble negro teniendo en consideración que este deberá ser para la sección de los diferentes </w:t>
      </w:r>
      <w:proofErr w:type="spellStart"/>
      <w:r w:rsidRPr="00CB0313">
        <w:t>multiconductores</w:t>
      </w:r>
      <w:proofErr w:type="spellEnd"/>
      <w:r w:rsidRPr="00CB0313">
        <w:t>.</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 xml:space="preserve">Terminal </w:t>
            </w:r>
            <w:proofErr w:type="spellStart"/>
            <w:r w:rsidRPr="006D76BD">
              <w:rPr>
                <w:rFonts w:cstheme="majorHAnsi"/>
                <w:szCs w:val="24"/>
              </w:rPr>
              <w:t>starfix</w:t>
            </w:r>
            <w:proofErr w:type="spellEnd"/>
            <w:r w:rsidRPr="006D76BD">
              <w:rPr>
                <w:rFonts w:cstheme="majorHAnsi"/>
                <w:szCs w:val="24"/>
              </w:rPr>
              <w:t xml:space="preserve">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 xml:space="preserve">Para las hebras de control que se alambran en los armarios y equipos de patio, será del tipo termo-contraíble blanca impresa, no se aceptaran marcas realizadas a mano con lápiz permanente. Estas marcas deberán indicar el punto de conexión, destino y número de hebra del </w:t>
      </w:r>
      <w:proofErr w:type="spellStart"/>
      <w:r w:rsidRPr="00CB0313">
        <w:t>multiconductor</w:t>
      </w:r>
      <w:proofErr w:type="spellEnd"/>
      <w:r w:rsidRPr="00CB0313">
        <w:t xml:space="preserve">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 xml:space="preserve">El Ingeniero </w:t>
      </w:r>
      <w:proofErr w:type="gramStart"/>
      <w:r>
        <w:t>Jefe</w:t>
      </w:r>
      <w:proofErr w:type="gramEnd"/>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 xml:space="preserve">El Ingeniero </w:t>
      </w:r>
      <w:proofErr w:type="gramStart"/>
      <w:r>
        <w:t>Jefe</w:t>
      </w:r>
      <w:proofErr w:type="gramEnd"/>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 xml:space="preserve">conocimiento del Ingeniero </w:t>
      </w:r>
      <w:proofErr w:type="gramStart"/>
      <w:r>
        <w:t>Jefe</w:t>
      </w:r>
      <w:proofErr w:type="gramEnd"/>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xml:space="preserve">, y que deberá haber incorporado los comentarios del Ingeniero </w:t>
      </w:r>
      <w:proofErr w:type="gramStart"/>
      <w:r w:rsidRPr="000D067B">
        <w:t>Jefe</w:t>
      </w:r>
      <w:proofErr w:type="gramEnd"/>
      <w:r w:rsidRPr="000D067B">
        <w:t>.</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5FE28" w14:textId="77777777" w:rsidR="006E5DE9" w:rsidRDefault="006E5DE9" w:rsidP="00E6143D">
      <w:r>
        <w:separator/>
      </w:r>
    </w:p>
  </w:endnote>
  <w:endnote w:type="continuationSeparator" w:id="0">
    <w:p w14:paraId="16DCC584" w14:textId="77777777" w:rsidR="006E5DE9" w:rsidRDefault="006E5DE9"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7FFA6" w14:textId="77777777" w:rsidR="006E5DE9" w:rsidRDefault="006E5DE9" w:rsidP="00E6143D">
      <w:r>
        <w:separator/>
      </w:r>
    </w:p>
  </w:footnote>
  <w:footnote w:type="continuationSeparator" w:id="0">
    <w:p w14:paraId="0D6785BC" w14:textId="77777777" w:rsidR="006E5DE9" w:rsidRDefault="006E5DE9"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B5907E" w:rsidR="00A141FD" w:rsidRDefault="00C874B4" w:rsidP="00E6143D">
    <w:pPr>
      <w:pStyle w:val="Encabezado"/>
      <w:ind w:left="0"/>
    </w:pPr>
    <w:r>
      <w:rPr>
        <w:noProof/>
      </w:rPr>
      <w:drawing>
        <wp:inline distT="0" distB="0" distL="0" distR="0" wp14:anchorId="76751A4C" wp14:editId="057EBE5D">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10D4F"/>
    <w:rsid w:val="000450D3"/>
    <w:rsid w:val="00063F63"/>
    <w:rsid w:val="00076A29"/>
    <w:rsid w:val="00077510"/>
    <w:rsid w:val="0008657A"/>
    <w:rsid w:val="0009033B"/>
    <w:rsid w:val="000E7F3B"/>
    <w:rsid w:val="00125D4E"/>
    <w:rsid w:val="00126193"/>
    <w:rsid w:val="001332F0"/>
    <w:rsid w:val="00144CB6"/>
    <w:rsid w:val="001464E5"/>
    <w:rsid w:val="001521A1"/>
    <w:rsid w:val="00191DA3"/>
    <w:rsid w:val="001978EC"/>
    <w:rsid w:val="001D489D"/>
    <w:rsid w:val="001E5801"/>
    <w:rsid w:val="00201465"/>
    <w:rsid w:val="0023614D"/>
    <w:rsid w:val="00251A31"/>
    <w:rsid w:val="00252193"/>
    <w:rsid w:val="002724E9"/>
    <w:rsid w:val="00274EA2"/>
    <w:rsid w:val="0027556F"/>
    <w:rsid w:val="00282E2A"/>
    <w:rsid w:val="00287303"/>
    <w:rsid w:val="00294DDF"/>
    <w:rsid w:val="002C2C25"/>
    <w:rsid w:val="002C3948"/>
    <w:rsid w:val="002C3CA9"/>
    <w:rsid w:val="002F0B10"/>
    <w:rsid w:val="002F46E9"/>
    <w:rsid w:val="00333A93"/>
    <w:rsid w:val="00335031"/>
    <w:rsid w:val="0034147E"/>
    <w:rsid w:val="0036044E"/>
    <w:rsid w:val="00363319"/>
    <w:rsid w:val="00374510"/>
    <w:rsid w:val="003813ED"/>
    <w:rsid w:val="0039274F"/>
    <w:rsid w:val="00397A75"/>
    <w:rsid w:val="003C066F"/>
    <w:rsid w:val="003C2691"/>
    <w:rsid w:val="003F6CF7"/>
    <w:rsid w:val="00420EAA"/>
    <w:rsid w:val="00422680"/>
    <w:rsid w:val="0043034B"/>
    <w:rsid w:val="00441702"/>
    <w:rsid w:val="00476DC8"/>
    <w:rsid w:val="0049641A"/>
    <w:rsid w:val="004B090B"/>
    <w:rsid w:val="004C02E1"/>
    <w:rsid w:val="004C3C2D"/>
    <w:rsid w:val="004D4D49"/>
    <w:rsid w:val="004E5A18"/>
    <w:rsid w:val="00576670"/>
    <w:rsid w:val="005837F7"/>
    <w:rsid w:val="00596CD2"/>
    <w:rsid w:val="005A2471"/>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B3F8F"/>
    <w:rsid w:val="006C61E8"/>
    <w:rsid w:val="006D0D2B"/>
    <w:rsid w:val="006D2219"/>
    <w:rsid w:val="006D76BD"/>
    <w:rsid w:val="006D7B32"/>
    <w:rsid w:val="006E0210"/>
    <w:rsid w:val="006E1841"/>
    <w:rsid w:val="006E24AB"/>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8F5483"/>
    <w:rsid w:val="009065AC"/>
    <w:rsid w:val="00920AA4"/>
    <w:rsid w:val="009247E9"/>
    <w:rsid w:val="00954495"/>
    <w:rsid w:val="009904F2"/>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239A"/>
    <w:rsid w:val="00B75D31"/>
    <w:rsid w:val="00B9586B"/>
    <w:rsid w:val="00BA61DC"/>
    <w:rsid w:val="00BA703F"/>
    <w:rsid w:val="00BC3723"/>
    <w:rsid w:val="00BD0A01"/>
    <w:rsid w:val="00BE28C9"/>
    <w:rsid w:val="00BE58E5"/>
    <w:rsid w:val="00C36316"/>
    <w:rsid w:val="00C528C4"/>
    <w:rsid w:val="00C535D6"/>
    <w:rsid w:val="00C662FF"/>
    <w:rsid w:val="00C853E7"/>
    <w:rsid w:val="00C874B4"/>
    <w:rsid w:val="00CB0313"/>
    <w:rsid w:val="00CF2C58"/>
    <w:rsid w:val="00CF4F97"/>
    <w:rsid w:val="00D44E77"/>
    <w:rsid w:val="00D60EFD"/>
    <w:rsid w:val="00D84C60"/>
    <w:rsid w:val="00D922F1"/>
    <w:rsid w:val="00DB0DD5"/>
    <w:rsid w:val="00DB5E8D"/>
    <w:rsid w:val="00DC7D78"/>
    <w:rsid w:val="00DF5589"/>
    <w:rsid w:val="00E01359"/>
    <w:rsid w:val="00E107DC"/>
    <w:rsid w:val="00E200BC"/>
    <w:rsid w:val="00E30311"/>
    <w:rsid w:val="00E36DCA"/>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F0A1E"/>
    <w:rsid w:val="00FF3A77"/>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96B1F-4898-4E79-A80B-7D48366A6E3E}"/>
</file>

<file path=customXml/itemProps2.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4.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23</cp:revision>
  <cp:lastPrinted>2019-01-10T17:32:00Z</cp:lastPrinted>
  <dcterms:created xsi:type="dcterms:W3CDTF">2021-10-16T03:18:00Z</dcterms:created>
  <dcterms:modified xsi:type="dcterms:W3CDTF">2025-02-17T20:14:00Z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